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firstLine="0"/>
        <w:jc w:val="both"/>
        <w:spacing w:before="57" w:beforeAutospacing="0" w:after="57" w:afterAutospacing="0" w:line="283" w:lineRule="atLeast"/>
        <w:shd w:val="clear" w:color="ffffff" w:themeColor="background1" w:fill="ffffff" w:themeFill="background1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Список земельных участков в Забайкалье для участников СВ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 и членов их семей продолжает пополняться</w:t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firstLine="708"/>
        <w:jc w:val="both"/>
        <w:spacing w:before="57" w:beforeAutospacing="0" w:after="57" w:afterAutospacing="0" w:line="283" w:lineRule="atLeast"/>
        <w:shd w:val="clear" w:color="ffffff" w:themeColor="background1" w:fill="ffffff" w:themeFill="background1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firstLine="708"/>
        <w:jc w:val="both"/>
        <w:spacing w:before="57" w:beforeAutospacing="0" w:after="57" w:afterAutospacing="0" w:line="283" w:lineRule="atLeast"/>
        <w:shd w:val="clear" w:color="ffffff" w:themeColor="background1" w:fill="ffffff" w:themeFill="background1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С пополняющимся перечнем безвозмездных участков можно ознакомиться на сайте Росреестра во вкладке «Забайкальский край». Участки расположены в муниципальных округах и районах Забайкальского края.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firstLine="708"/>
        <w:jc w:val="both"/>
        <w:spacing w:before="57" w:beforeAutospacing="0" w:after="57" w:afterAutospacing="0" w:line="283" w:lineRule="atLeast"/>
        <w:shd w:val="clear" w:color="ffffff" w:themeColor="background1" w:fill="ffffff" w:themeFill="background1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firstLine="708"/>
        <w:jc w:val="both"/>
        <w:spacing w:before="57" w:beforeAutospacing="0" w:after="57" w:afterAutospacing="0" w:line="283" w:lineRule="atLeast"/>
        <w:shd w:val="clear" w:color="ffffff" w:themeColor="background1" w:fill="ffffff" w:themeFill="background1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  <w:t xml:space="preserve">Согласно Распоряжению Президента РФ № 174-рп от 06 июня 2023 года «О </w:t>
      </w:r>
      <w:r>
        <w:rPr>
          <w:rFonts w:ascii="Tinos" w:hAnsi="Tinos" w:eastAsia="Tinos" w:cs="Tinos"/>
          <w:sz w:val="28"/>
          <w:szCs w:val="28"/>
        </w:rPr>
        <w:t xml:space="preserve">дополнительных мерах </w:t>
      </w:r>
      <w:r>
        <w:rPr>
          <w:rFonts w:ascii="Tinos" w:hAnsi="Tinos" w:eastAsia="Tinos" w:cs="Tinos"/>
          <w:sz w:val="28"/>
          <w:szCs w:val="28"/>
        </w:rPr>
        <w:t xml:space="preserve">социальной поддержки военнослужащих, лиц, заключивших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контракт о пребывании в добровольческом формировании,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содействующем выполнению задач, возложенных на Вооруженные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Силы Российской Федерации (войска Национальной гвардии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РФ), лиц, проходящих службу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в войсках Национальной гвардии Росс</w:t>
      </w:r>
      <w:r>
        <w:rPr>
          <w:rFonts w:ascii="Tinos" w:hAnsi="Tinos" w:eastAsia="Tinos" w:cs="Tinos"/>
          <w:sz w:val="28"/>
          <w:szCs w:val="28"/>
        </w:rPr>
        <w:t xml:space="preserve">ийской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Федерации, и членов их семей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» Росреестром совместно с органами государственной власти Забайкальского края ведется работа по предоставлению земельных участков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 собственность участникам СВО на безвозмездной основе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.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firstLine="708"/>
        <w:jc w:val="both"/>
        <w:spacing w:before="57" w:beforeAutospacing="0" w:after="57" w:afterAutospacing="0" w:line="283" w:lineRule="atLeast"/>
        <w:shd w:val="clear" w:color="ffffff" w:themeColor="background1" w:fill="ffffff" w:themeFill="background1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firstLine="708"/>
        <w:jc w:val="both"/>
        <w:spacing w:before="57" w:beforeAutospacing="0" w:after="57" w:afterAutospacing="0" w:line="283" w:lineRule="atLeast"/>
        <w:shd w:val="clear" w:color="ffffff" w:themeColor="background1" w:fill="ffffff" w:themeFill="background1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 процессе работы на постоянной основе формируе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тся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перечень земельных участков, возможных к предоставлению в собственность участникам Специальной Военной Операции, в который входят 35 земельных участков общей площадью порядка 5 гектаров, расположенных в Карымском и Улётовском районах.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firstLine="708"/>
        <w:jc w:val="both"/>
        <w:spacing w:before="57" w:beforeAutospacing="0" w:after="57" w:afterAutospacing="0" w:line="283" w:lineRule="atLeast"/>
        <w:shd w:val="clear" w:color="ffffff" w:themeColor="background1" w:fill="ffffff" w:themeFill="background1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firstLine="708"/>
        <w:jc w:val="both"/>
        <w:spacing w:before="57" w:beforeAutospacing="0" w:after="57" w:afterAutospacing="0" w:line="283" w:lineRule="atLeast"/>
        <w:shd w:val="clear" w:color="ffffff" w:themeColor="background1" w:fill="ffffff" w:themeFill="background1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Также в ближайшее время планируется включение в список земельной территории в пределах г. Читы по ул. Еланьской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.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firstLine="708"/>
        <w:jc w:val="both"/>
        <w:spacing w:before="57" w:beforeAutospacing="0" w:after="57" w:afterAutospacing="0" w:line="283" w:lineRule="atLeast"/>
        <w:shd w:val="clear" w:color="ffffff" w:themeColor="background1" w:fill="ffffff" w:themeFill="background1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firstLine="708"/>
        <w:jc w:val="both"/>
        <w:spacing w:before="57" w:beforeAutospacing="0" w:after="57" w:afterAutospacing="0" w:line="283" w:lineRule="atLeast"/>
        <w:shd w:val="clear" w:color="ffffff" w:themeColor="background1" w:fill="ffffff" w:themeFill="background1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C Перечнем земельных участков,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возможных к предоставлению в собственность участникам СВО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, можно ознакомиться по следующей ссылке, выбрав вкладку «Забайкальский край»: 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hyperlink r:id="rId9" w:tooltip="https://rosreestr.gov.ru/open-service/spetsialnye-proekty/vmeste-s-geroyami/" w:history="1">
        <w:r>
          <w:rPr>
            <w:rStyle w:val="818"/>
            <w:rFonts w:ascii="Tinos" w:hAnsi="Tinos" w:eastAsia="Tinos" w:cs="Tinos"/>
            <w:sz w:val="28"/>
            <w:szCs w:val="28"/>
            <w:highlight w:val="none"/>
          </w:rPr>
          <w:t xml:space="preserve">https://rosreestr.gov.ru/open-service/spetsialnye-proekty/vmeste-s-geroyami/</w:t>
        </w:r>
        <w:r>
          <w:rPr>
            <w:rStyle w:val="818"/>
            <w:rFonts w:ascii="Tinos" w:hAnsi="Tinos" w:eastAsia="Tinos" w:cs="Tinos"/>
            <w:sz w:val="28"/>
            <w:szCs w:val="28"/>
            <w:highlight w:val="none"/>
          </w:rPr>
        </w:r>
      </w:hyperlink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firstLine="708"/>
        <w:jc w:val="both"/>
        <w:spacing w:before="57" w:beforeAutospacing="0" w:after="57" w:afterAutospacing="0" w:line="283" w:lineRule="atLeast"/>
        <w:shd w:val="clear" w:color="ffffff" w:themeColor="background1" w:fill="ffffff" w:themeFill="background1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firstLine="708"/>
        <w:jc w:val="both"/>
        <w:spacing w:before="57" w:beforeAutospacing="0" w:after="57" w:afterAutospacing="0" w:line="283" w:lineRule="atLeast"/>
        <w:shd w:val="clear" w:color="ffffff" w:themeColor="background1" w:fill="ffffff" w:themeFill="background1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Указанные земельные участки также включены в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перечень земельных участков и территорий, потенциально возможных для вовлечения под жилищное строительство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в рамках проекта «Земля для стройки».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Лица, заинтересованные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 получении земельного участка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, могут воспользоваться сервисом «Земля для стройки» на цифровом портале «Национальная система пространственных данных» по ссылке </w:t>
      </w:r>
      <w:hyperlink r:id="rId10" w:tooltip="https://nspd.gov.ru/" w:history="1">
        <w:r>
          <w:rPr>
            <w:rStyle w:val="818"/>
            <w:rFonts w:ascii="Tinos" w:hAnsi="Tinos" w:eastAsia="Tinos" w:cs="Tinos"/>
            <w:sz w:val="28"/>
            <w:szCs w:val="28"/>
            <w:highlight w:val="none"/>
          </w:rPr>
          <w:t xml:space="preserve">https://nspd.gov.ru/</w:t>
        </w:r>
        <w:r>
          <w:rPr>
            <w:rStyle w:val="818"/>
            <w:rFonts w:ascii="Tinos" w:hAnsi="Tinos" w:eastAsia="Tinos" w:cs="Tinos"/>
            <w:sz w:val="28"/>
            <w:szCs w:val="28"/>
            <w:highlight w:val="none"/>
          </w:rPr>
        </w:r>
        <w:r>
          <w:rPr>
            <w:rStyle w:val="818"/>
          </w:rPr>
        </w:r>
      </w:hyperlink>
      <w:r>
        <w:t xml:space="preserve">.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firstLine="708"/>
        <w:jc w:val="both"/>
        <w:spacing w:before="57" w:beforeAutospacing="0" w:after="57" w:afterAutospacing="0" w:line="283" w:lineRule="atLeast"/>
        <w:shd w:val="clear" w:color="ffffff" w:themeColor="background1" w:fill="ffffff" w:themeFill="background1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firstLine="708"/>
        <w:jc w:val="both"/>
        <w:spacing w:before="57" w:beforeAutospacing="0" w:after="57" w:afterAutospacing="0" w:line="283" w:lineRule="atLeast"/>
        <w:shd w:val="clear" w:color="ffffff" w:themeColor="background1" w:fill="ffffff" w:themeFill="background1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Кроме того, на официальном сайте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Департамента государственного имущества и земельных отношений Забайкальского края (</w:t>
      </w:r>
      <w:r>
        <w:rPr>
          <w:rFonts w:ascii="Tinos" w:hAnsi="Tinos" w:eastAsia="Tinos" w:cs="Tinos"/>
          <w:sz w:val="28"/>
          <w:szCs w:val="28"/>
          <w:highlight w:val="none"/>
        </w:rPr>
      </w:r>
      <w:hyperlink r:id="rId11" w:tooltip="https://gosim.75.ru/" w:history="1">
        <w:r>
          <w:rPr>
            <w:rStyle w:val="818"/>
            <w:rFonts w:ascii="Tinos" w:hAnsi="Tinos" w:eastAsia="Tinos" w:cs="Tinos"/>
            <w:sz w:val="28"/>
            <w:szCs w:val="28"/>
            <w:highlight w:val="none"/>
          </w:rPr>
          <w:t xml:space="preserve">https://gosim.75.ru/</w:t>
        </w:r>
        <w:r>
          <w:rPr>
            <w:rStyle w:val="818"/>
            <w:rFonts w:ascii="Tinos" w:hAnsi="Tinos" w:eastAsia="Tinos" w:cs="Tinos"/>
            <w:sz w:val="28"/>
            <w:szCs w:val="28"/>
            <w:highlight w:val="none"/>
          </w:rPr>
        </w:r>
      </w:hyperlink>
      <w:r>
        <w:rPr>
          <w:rFonts w:ascii="Tinos" w:hAnsi="Tinos" w:eastAsia="Tinos" w:cs="Tinos"/>
          <w:sz w:val="28"/>
          <w:szCs w:val="28"/>
          <w:highlight w:val="none"/>
        </w:rPr>
        <w:t xml:space="preserve">) в разделе «Информация для участников боевых действий», открывающемся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путем нажатия на кнопку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16563" cy="137119"/>
                <wp:effectExtent l="0" t="0" r="0" b="0"/>
                <wp:docPr id="1" name="_x0000_i109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79902657" name="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216561" cy="1371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.05pt;height:10.80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расположенной в левом углу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, размещен перечень земельных участков, возможных для предоставления участникам военной операции и членам их семей на территории г. Чита,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а также Памятка по предоставлению земельных участков в собственность бесплатно участникам СВО и членам семьи погибшего (умершего) участника СВО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.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firstLine="708"/>
        <w:jc w:val="both"/>
        <w:spacing w:before="57" w:beforeAutospacing="0" w:after="57" w:afterAutospacing="0" w:line="283" w:lineRule="atLeast"/>
        <w:shd w:val="clear" w:color="ffffff" w:themeColor="background1" w:fill="ffffff" w:themeFill="background1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left="0" w:right="0" w:firstLine="0"/>
        <w:jc w:val="both"/>
        <w:spacing w:after="62" w:line="276" w:lineRule="atLeast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</w:rPr>
        <w:t xml:space="preserve">#Росреестр #РосреестрЧита #РосреестрЗабайкальскийКрай #ЗабайкальскийРосреестр #Росреестр75 #СВО #ЗемельныйУчасток #ЗемляДляСтройки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8"/>
        <w:jc w:val="both"/>
        <w:shd w:val="clear" w:color="ffffff" w:themeColor="background1" w:fill="ffffff" w:themeFill="background1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firstLine="708"/>
        <w:jc w:val="center"/>
        <w:shd w:val="clear" w:color="ffffff" w:themeColor="background1" w:fill="ffffff" w:themeFill="background1"/>
        <w:rPr>
          <w:rFonts w:ascii="Tinos" w:hAnsi="Tinos" w:eastAsia="Tinos" w:cs="Tinos"/>
          <w:b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/>
          <w:bCs/>
          <w:sz w:val="28"/>
          <w:szCs w:val="28"/>
          <w:highlight w:val="none"/>
        </w:rPr>
        <w:t xml:space="preserve">Перечни земельных участков для предоставления участникам СВО</w:t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</w:p>
    <w:tbl>
      <w:tblPr>
        <w:tblStyle w:val="692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4394"/>
        <w:gridCol w:w="1702"/>
      </w:tblGrid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п/п</w:t>
            </w:r>
            <w:r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/>
                <w:bCs w:val="0"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u w:val="none"/>
              </w:rPr>
              <w:t xml:space="preserve">Кадастровый номер земельного участка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u w:val="none"/>
              </w:rPr>
              <w:t xml:space="preserve">Адрес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u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u w:val="none"/>
              </w:rPr>
              <w:t xml:space="preserve">Площадь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u w:val="none"/>
              </w:rPr>
            </w:r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75:19:220214:53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край, Улетовский район, пгт Дровяная, ул. Солнечная, 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1906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75:19:220214:48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край, Улетовский район, пгт Дровяная, ул. Солнечная, 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1949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75:19:220209:106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край, район Улетовский, пгт Дровяная, ул. Партизанская, д 28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1999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75:19:170113:154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край, Улетовский район, с. Улеты, ул. Полины Осипенко, д. 6а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75:19:170131:42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край, Улетовский район, с Улеты, ул. Шолохова, б/н.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1626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75:19:170113:183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край, Улетовский район, с. Улеты, ул. Лихачева, д. 2в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1978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75:19:170131:223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край., Улетовский район, с. Улеты, ул. Ярославского, 23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1874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75:19:170131:225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край., Улетовский район, с. Улеты, ул. Ярославского, 18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75:19:170131:239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край, Улетовский район, с. Улеты, ул. Ярославского, 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75:19:170131:250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край, Улетовский район, с. Улеты, ул. Первомайская, з/у 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75:19:170131:251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край, Улетовский район, с. Улеты, ул. Ярославского, з/у 2а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75:08:280110:149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край., Карымский район, пгт. Курорт-Дарасун, ул. Новая, 97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745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75:08:190101:590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край, Карымский район, п/ст. Адриановка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1498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75:08:350102:363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край, Карымский район, с. Урульга, кадастровый квартал 75:08:350102, участок №16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75:08:350102:365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край, Карымский район, с. Урульга, кадастровый квартал 75:08:350102, участок №19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75:08:100103:591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Россия, Забайкальский край, Карымский район, пгт. Карымское, ул. Пушкинская, 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75:08:100105:154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край, Карымский район, пгт. Карымское, уч 15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75:08:100105:162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край, Карымский район, пгт. Карымское, кадастровый квартал 75:08:100105, участок №12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75:08:100105:139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край, Карымский район, пгт. Карымское, ул. Северная,  уч. 59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75:08:100105:137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край., Карымский район, пгт. Карымское, ул. Северная, 53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75:08:420101:342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край, Карымский район, с. Кадахта, ул. Советская, участок №10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75:08:420101:341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край, Карымский район, с. Кадахта, ул. Советская, участок 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75:08:420101:340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край, Карымский район, с. Кадахта,  ул. Советская, участок 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75:08:090103:323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край, Карымский район, с. Кадахта, ул. Советская, участок 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75:08:090103:321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край, Карымский район, с. Кадахта, ул. Советская, участок 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75:08:090103:317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край, Карымский район, с. Кадахта, ул. Советская, участок № 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1771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75:08:090103:325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край, Карымский район, с. Кадахта, ул. Школьная, участок №31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1634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75:08:090103:329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 край., Карымский район, с. Кадахта, ул. Школьная, 32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1990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75:08:090103:324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край, Карымский район, с. Кадахта, ул. Школьная, участок 33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1668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75:08:090103:326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край, Карымский район, с. Кадахта, ул. Школьная, участок №35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1486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75:08:090103:332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край, Карымский район, с. Кадахта, ул. Школьная, 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75:08:090103:331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край, Карымский район, с. Кадахта, ул.Школьная, участок №39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75:08:090103:330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  край., Карымский район, с. Кадахта, ул. Школьная, 36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75:08:070163:52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край, Карымский район, пгт. Дарасун, ул. Горьковская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2396</w:t>
            </w:r>
            <w:r/>
          </w:p>
        </w:tc>
      </w:tr>
      <w:tr>
        <w:tblPrEx/>
        <w:trPr>
          <w:trHeight w:val="9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75:08:070153:54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Забайкальский край, Карымский район, пгт. Дарасун, ул. Автомобилистов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</w:t>
            </w:r>
            <w:r/>
          </w:p>
        </w:tc>
      </w:tr>
    </w:tbl>
    <w:p>
      <w:pPr>
        <w:ind w:firstLine="708"/>
        <w:jc w:val="both"/>
        <w:shd w:val="clear" w:color="ffffff" w:themeColor="background1" w:fill="ffffff" w:themeFill="background1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nos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6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8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0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2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4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6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8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0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6"/>
    <w:next w:val="836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6"/>
    <w:next w:val="836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6"/>
    <w:next w:val="836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6"/>
    <w:next w:val="836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6"/>
    <w:next w:val="836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Title"/>
    <w:basedOn w:val="836"/>
    <w:next w:val="836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link w:val="678"/>
    <w:uiPriority w:val="10"/>
    <w:rPr>
      <w:sz w:val="48"/>
      <w:szCs w:val="48"/>
    </w:rPr>
  </w:style>
  <w:style w:type="paragraph" w:styleId="680">
    <w:name w:val="Subtitle"/>
    <w:basedOn w:val="836"/>
    <w:next w:val="836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link w:val="680"/>
    <w:uiPriority w:val="11"/>
    <w:rPr>
      <w:sz w:val="24"/>
      <w:szCs w:val="24"/>
    </w:rPr>
  </w:style>
  <w:style w:type="paragraph" w:styleId="682">
    <w:name w:val="Quote"/>
    <w:basedOn w:val="836"/>
    <w:next w:val="836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6"/>
    <w:next w:val="836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6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link w:val="686"/>
    <w:uiPriority w:val="99"/>
  </w:style>
  <w:style w:type="paragraph" w:styleId="688">
    <w:name w:val="Footer"/>
    <w:basedOn w:val="836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link w:val="688"/>
    <w:uiPriority w:val="99"/>
  </w:style>
  <w:style w:type="paragraph" w:styleId="690">
    <w:name w:val="Caption"/>
    <w:basedOn w:val="836"/>
    <w:next w:val="836"/>
    <w:link w:val="6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basedOn w:val="83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6">
    <w:name w:val="Bordered &amp; 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0">
    <w:name w:val="Bordered &amp; 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</w:style>
  <w:style w:type="table" w:styleId="8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8" w:default="1">
    <w:name w:val="No List"/>
    <w:uiPriority w:val="99"/>
    <w:semiHidden/>
    <w:unhideWhenUsed/>
  </w:style>
  <w:style w:type="paragraph" w:styleId="839">
    <w:name w:val="No Spacing"/>
    <w:basedOn w:val="836"/>
    <w:uiPriority w:val="1"/>
    <w:qFormat/>
    <w:pPr>
      <w:spacing w:after="0" w:line="240" w:lineRule="auto"/>
    </w:pPr>
  </w:style>
  <w:style w:type="paragraph" w:styleId="840">
    <w:name w:val="List Paragraph"/>
    <w:basedOn w:val="836"/>
    <w:uiPriority w:val="34"/>
    <w:qFormat/>
    <w:pPr>
      <w:contextualSpacing/>
      <w:ind w:left="720"/>
    </w:pPr>
  </w:style>
  <w:style w:type="character" w:styleId="841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rosreestr.gov.ru/open-service/spetsialnye-proekty/vmeste-s-geroyami/" TargetMode="External"/><Relationship Id="rId10" Type="http://schemas.openxmlformats.org/officeDocument/2006/relationships/hyperlink" Target="https://nspd.gov.ru/" TargetMode="External"/><Relationship Id="rId11" Type="http://schemas.openxmlformats.org/officeDocument/2006/relationships/hyperlink" Target="https://gosim.75.ru/" TargetMode="External"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9</cp:revision>
  <dcterms:modified xsi:type="dcterms:W3CDTF">2025-10-21T05:29:38Z</dcterms:modified>
</cp:coreProperties>
</file>